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36"/>
        </w:rPr>
        <w:t>HASSAN AYAZ BOKHARI, M.D.</w:t>
      </w:r>
    </w:p>
    <w:p>
      <w:pPr>
        <w:jc w:val="center"/>
      </w:pPr>
      <w:r>
        <w:rPr>
          <w:i/>
          <w:sz w:val="21"/>
        </w:rPr>
        <w:t>Double Board Certified Psychiatrist  |  Child &amp; Adolescent Psychiatry  |  TMS Fellowship (Duke)</w:t>
      </w:r>
    </w:p>
    <w:p>
      <w:pPr>
        <w:jc w:val="center"/>
      </w:pPr>
      <w:r>
        <w:rPr>
          <w:b/>
        </w:rPr>
        <w:t>Expert Witness &amp; Independent Medical Examinations  •  Available for Plaintiff and Defense Retention</w:t>
      </w:r>
    </w:p>
    <w:p>
      <w:pPr>
        <w:jc w:val="center"/>
      </w:pPr>
      <w:r>
        <w:rPr>
          <w:sz w:val="20"/>
        </w:rPr>
        <w:t>716 Seminole Blvd, Largo, FL 33770  •  (347) 331-7748  •  bokhari@bokharimedical.com</w:t>
      </w:r>
    </w:p>
    <w:p>
      <w:pPr>
        <w:spacing w:before="200" w:after="40"/>
      </w:pPr>
      <w:r>
        <w:rPr>
          <w:b/>
          <w:color w:val="1F3A5F"/>
          <w:sz w:val="22"/>
        </w:rPr>
        <w:t>AREAS OF MEDICOLEGAL EXPERTISE</w:t>
      </w:r>
    </w:p>
    <w:p>
      <w:pPr>
        <w:pStyle w:val="ListBullet"/>
      </w:pPr>
      <w:r>
        <w:t>Child &amp; adolescent psychiatry — custody, competency, trauma, standard of care (double board certified)</w:t>
      </w:r>
    </w:p>
    <w:p>
      <w:pPr>
        <w:pStyle w:val="ListBullet"/>
      </w:pPr>
      <w:r>
        <w:t>Transcranial magnetic stimulation (TMS) — standard of care, device and treatment cases (Duke fellowship, 2023)</w:t>
      </w:r>
    </w:p>
    <w:p>
      <w:pPr>
        <w:pStyle w:val="ListBullet"/>
      </w:pPr>
      <w:r>
        <w:t>PTSD, trauma, anxiety, and mood disorders — causation, diagnosis, and treatment analysis</w:t>
      </w:r>
    </w:p>
    <w:p>
      <w:pPr>
        <w:pStyle w:val="ListBullet"/>
      </w:pPr>
      <w:r>
        <w:t>Independent medical examinations — personal injury, disability, fitness-for-duty, return-to-work</w:t>
      </w:r>
    </w:p>
    <w:p>
      <w:pPr>
        <w:pStyle w:val="ListBullet"/>
      </w:pPr>
      <w:r>
        <w:t>Testamentary capacity and fitness-for-duty evaluations</w:t>
      </w:r>
    </w:p>
    <w:p>
      <w:r>
        <w:rPr>
          <w:b/>
        </w:rPr>
        <w:t xml:space="preserve">Retention: </w:t>
      </w:r>
      <w:r>
        <w:t>Available for record review, written reports, deposition, and trial testimony for both plaintiff and defense. Fee schedule provided on request. No contingency arrangements.</w:t>
      </w:r>
    </w:p>
    <w:p>
      <w:pPr>
        <w:spacing w:before="200" w:after="40"/>
      </w:pPr>
      <w:r>
        <w:rPr>
          <w:b/>
          <w:color w:val="1F3A5F"/>
          <w:sz w:val="22"/>
        </w:rPr>
        <w:t>BOARD CERTIFICATIONS &amp; LICENSURE</w:t>
      </w:r>
    </w:p>
    <w:p>
      <w:pPr>
        <w:pStyle w:val="ListBullet"/>
      </w:pPr>
      <w:r>
        <w:t>Diplomate, American Board of Psychiatry and Neurology — Psychiatry (2013)</w:t>
      </w:r>
    </w:p>
    <w:p>
      <w:pPr>
        <w:pStyle w:val="ListBullet"/>
      </w:pPr>
      <w:r>
        <w:t>Diplomate, American Board of Psychiatry and Neurology — Child &amp; Adolescent Psychiatry (2014)</w:t>
      </w:r>
    </w:p>
    <w:p>
      <w:pPr>
        <w:pStyle w:val="ListBullet"/>
      </w:pPr>
      <w:r>
        <w:t>TMS Fellowship, Duke University (2023)</w:t>
      </w:r>
    </w:p>
    <w:p>
      <w:pPr>
        <w:pStyle w:val="ListBullet"/>
      </w:pPr>
      <w:r>
        <w:t>Licensed physician, State of Florida (active)</w:t>
      </w:r>
    </w:p>
    <w:p>
      <w:pPr>
        <w:pStyle w:val="ListBullet"/>
      </w:pPr>
      <w:r>
        <w:t>USMLE Steps 1, 2 CK, 2 CS, 3 — passed</w:t>
      </w:r>
    </w:p>
    <w:p>
      <w:pPr>
        <w:spacing w:before="200" w:after="40"/>
      </w:pPr>
      <w:r>
        <w:rPr>
          <w:b/>
          <w:color w:val="1F3A5F"/>
          <w:sz w:val="22"/>
        </w:rPr>
        <w:t>CURRENT APPOINTMENTS</w:t>
      </w:r>
    </w:p>
    <w:p>
      <w:pPr>
        <w:pStyle w:val="ListBullet"/>
      </w:pPr>
      <w:r>
        <w:t>Founder &amp; President, Bokhari Medical Consortium — Largo &amp; Spring Hill, FL (2023–present). Advanced outpatient psychiatry practice; NeuroStar TMS, Spravato, aesthetics, hyperbaric wellness.</w:t>
      </w:r>
    </w:p>
    <w:p>
      <w:pPr>
        <w:pStyle w:val="ListBullet"/>
      </w:pPr>
      <w:r>
        <w:t>Voluntary Faculty, Department of Psychiatry, University of South Florida</w:t>
      </w:r>
    </w:p>
    <w:p>
      <w:pPr>
        <w:spacing w:before="200" w:after="40"/>
      </w:pPr>
      <w:r>
        <w:rPr>
          <w:b/>
          <w:color w:val="1F3A5F"/>
          <w:sz w:val="22"/>
        </w:rPr>
        <w:t>PRIOR LEADERSHIP &amp; HOSPITAL APPOINTMENTS</w:t>
      </w:r>
    </w:p>
    <w:p>
      <w:pPr>
        <w:pStyle w:val="ListBullet"/>
      </w:pPr>
      <w:r>
        <w:t>Chairperson, Department of Psychiatry — St. Joseph's Hospital, Tampa, FL (2019–2023)</w:t>
      </w:r>
    </w:p>
    <w:p>
      <w:pPr>
        <w:pStyle w:val="ListBullet"/>
      </w:pPr>
      <w:r>
        <w:t>Medical Director (Psychiatry) — BayCare Health System, Tampa, FL (2017–2023); Associate Medical Director (2015–2017)</w:t>
      </w:r>
    </w:p>
    <w:p>
      <w:pPr>
        <w:pStyle w:val="ListBullet"/>
      </w:pPr>
      <w:r>
        <w:t>Staff Psychiatrist — The Centers, Ocala, FL (2016–present)</w:t>
      </w:r>
    </w:p>
    <w:p>
      <w:pPr>
        <w:pStyle w:val="ListBullet"/>
      </w:pPr>
      <w:r>
        <w:t>Staff Physician / Unit Director, Child &amp; Adolescent Chemical Dependency Unit — Shady Grove Hospital (Adventist Health Care), Rockville, MD; Faculty, Georgetown University Hospital Dept. of Psychiatry (2013–2015). Directed addiction treatment including PHP/IOP programs for adolescents and adults; school liaison and prevention programs.</w:t>
      </w:r>
    </w:p>
    <w:p>
      <w:pPr>
        <w:pStyle w:val="ListBullet"/>
      </w:pPr>
      <w:r>
        <w:t>Staff Physician — Eastern Shore Hospital Center, Cambridge, MD (2012–2017)</w:t>
      </w:r>
    </w:p>
    <w:p>
      <w:pPr>
        <w:spacing w:before="200" w:after="40"/>
      </w:pPr>
      <w:r>
        <w:rPr>
          <w:b/>
          <w:color w:val="1F3A5F"/>
          <w:sz w:val="22"/>
        </w:rPr>
        <w:t>POSTGRADUATE TRAINING</w:t>
      </w:r>
    </w:p>
    <w:p>
      <w:pPr>
        <w:pStyle w:val="ListBullet"/>
      </w:pPr>
      <w:r>
        <w:t>Fellowship, Transcranial Magnetic Stimulation — Duke University (2023)</w:t>
      </w:r>
    </w:p>
    <w:p>
      <w:pPr>
        <w:pStyle w:val="ListBullet"/>
      </w:pPr>
      <w:r>
        <w:t>Chief Fellow &amp; Fellow, Child &amp; Adolescent Psychiatry — Georgetown University (2011–2013)</w:t>
      </w:r>
    </w:p>
    <w:p>
      <w:pPr>
        <w:pStyle w:val="ListBullet"/>
      </w:pPr>
      <w:r>
        <w:t>Residency, Psychiatry — Rutgers University / UMDNJ-NJMS, Newark, NJ (2008–2011)</w:t>
      </w:r>
    </w:p>
    <w:p>
      <w:pPr>
        <w:pStyle w:val="ListBullet"/>
      </w:pPr>
      <w:r>
        <w:t>Research Assistant — Seton Hall University, NJ (2007–2008)</w:t>
      </w:r>
    </w:p>
    <w:p>
      <w:pPr>
        <w:pStyle w:val="ListBullet"/>
      </w:pPr>
      <w:r>
        <w:t>Postgraduate Diploma/Fellowship in Undersea &amp; Hyperbaric Medicine — Pakistan Navy Undersea Medical Institute, Karachi (2001–2002); Royal Australian Navy Submarine &amp; Underwater Medicine Unit (2003–2004)</w:t>
      </w:r>
    </w:p>
    <w:p>
      <w:pPr>
        <w:pStyle w:val="ListBullet"/>
      </w:pPr>
      <w:r>
        <w:t>Internships, Internal Medicine &amp; General Surgery — PNS Shifa Naval Hospital, Karachi (1999–2000)</w:t>
      </w:r>
    </w:p>
    <w:p>
      <w:pPr>
        <w:spacing w:before="200" w:after="40"/>
      </w:pPr>
      <w:r>
        <w:rPr>
          <w:b/>
          <w:color w:val="1F3A5F"/>
          <w:sz w:val="22"/>
        </w:rPr>
        <w:t>MEDICAL EDUCATION</w:t>
      </w:r>
    </w:p>
    <w:p>
      <w:pPr>
        <w:pStyle w:val="ListBullet"/>
      </w:pPr>
      <w:r>
        <w:t>M.B., B.S. — Army Medical College, Rawalpindi, Pakistan (1999)</w:t>
      </w:r>
    </w:p>
    <w:p>
      <w:pPr>
        <w:pStyle w:val="ListBullet"/>
      </w:pPr>
      <w:r>
        <w:t>Pre-medical — Naval College, Islamabad (1993)</w:t>
      </w:r>
    </w:p>
    <w:p>
      <w:pPr>
        <w:spacing w:before="200" w:after="40"/>
      </w:pPr>
      <w:r>
        <w:rPr>
          <w:b/>
          <w:color w:val="1F3A5F"/>
          <w:sz w:val="22"/>
        </w:rPr>
        <w:t>PROFESSIONAL SOCIETIES</w:t>
      </w:r>
    </w:p>
    <w:p>
      <w:pPr>
        <w:pStyle w:val="ListBullet"/>
      </w:pPr>
      <w:r>
        <w:t>American Psychiatric Association</w:t>
      </w:r>
    </w:p>
    <w:p>
      <w:pPr>
        <w:pStyle w:val="ListBullet"/>
      </w:pPr>
      <w:r>
        <w:t>American Medical Association</w:t>
      </w:r>
    </w:p>
    <w:p>
      <w:pPr>
        <w:spacing w:before="200" w:after="40"/>
      </w:pPr>
      <w:r>
        <w:rPr>
          <w:b/>
          <w:color w:val="1F3A5F"/>
          <w:sz w:val="22"/>
        </w:rPr>
        <w:t>SELECTED PRESENTATIONS &amp; RESEARCH</w:t>
      </w:r>
    </w:p>
    <w:p>
      <w:pPr>
        <w:pStyle w:val="ListBullet"/>
      </w:pPr>
      <w:r>
        <w:t>Grand rounds &amp; fellow presentations (2011–2013): PTSD, bipolar disorder in children, neurobiology of addiction, ADHD</w:t>
      </w:r>
    </w:p>
    <w:p>
      <w:pPr>
        <w:pStyle w:val="ListBullet"/>
      </w:pPr>
      <w:r>
        <w:t>Resident presentations (2008–2010): atypical antipsychotics, bipolar disorder, mood stabilizers, borderline personality disorder, novel treatments in PTSD</w:t>
      </w:r>
    </w:p>
    <w:p>
      <w:pPr>
        <w:pStyle w:val="ListBullet"/>
      </w:pPr>
      <w:r>
        <w:t>Bokhari H., Dholakia R. — Urbanization &amp; suicide in children &amp; adolescents (in progress)</w:t>
      </w:r>
    </w:p>
    <w:p>
      <w:pPr>
        <w:pStyle w:val="ListBullet"/>
      </w:pPr>
      <w:r>
        <w:t>Nominated, Golden Apple Award for excellence in teaching — NJ Medical School (2010)</w:t>
      </w:r>
    </w:p>
    <w:p>
      <w:pPr>
        <w:spacing w:before="200" w:after="40"/>
      </w:pPr>
      <w:r>
        <w:rPr>
          <w:b/>
          <w:color w:val="1F3A5F"/>
          <w:sz w:val="22"/>
        </w:rPr>
        <w:t>LANGUAGES</w:t>
      </w:r>
    </w:p>
    <w:p>
      <w:r>
        <w:t>English (fluent); Urdu/Hindi (fluent); Punjabi, Pushto, Hindko, Seraiki (fluent); Arabic (working fluency) — relevant for examinations of diverse and non-English-speaking examinees.</w:t>
      </w:r>
    </w:p>
    <w:p>
      <w:pPr>
        <w:spacing w:before="200" w:after="40"/>
      </w:pPr>
      <w:r>
        <w:rPr>
          <w:b/>
          <w:color w:val="1F3A5F"/>
          <w:sz w:val="22"/>
        </w:rPr>
        <w:t>PRIOR TESTIMONY</w:t>
      </w:r>
    </w:p>
    <w:p>
      <w:r>
        <w:t>Available on request. No prior expert testimony as of October 2026 — available for first retention by plaintiff or defense.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